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3F3F3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center"/>
        <w:rPr>
          <w:rFonts w:ascii="UnifrakturMaguntia" w:cs="UnifrakturMaguntia" w:eastAsia="UnifrakturMaguntia" w:hAnsi="UnifrakturMaguntia"/>
          <w:b w:val="0"/>
          <w:i w:val="0"/>
          <w:smallCaps w:val="0"/>
          <w:strike w:val="0"/>
          <w:color w:val="00ff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UnifrakturMaguntia" w:cs="UnifrakturMaguntia" w:eastAsia="UnifrakturMaguntia" w:hAnsi="UnifrakturMaguntia"/>
          <w:color w:val="00ffff"/>
        </w:rPr>
        <mc:AlternateContent>
          <mc:Choice Requires="wpg">
            <w:drawing>
              <wp:inline distB="19050" distT="19050" distL="19050" distR="19050">
                <wp:extent cx="6648450" cy="93116"/>
                <wp:effectExtent b="0" l="0" r="0" 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70212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3116"/>
                <wp:effectExtent b="0" l="0" r="0" 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3116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4400.0" w:type="dxa"/>
        <w:jc w:val="left"/>
        <w:tblInd w:w="100.0" w:type="pct"/>
        <w:tblBorders>
          <w:top w:color="999999" w:space="0" w:sz="18" w:val="single"/>
          <w:left w:color="999999" w:space="0" w:sz="18" w:val="single"/>
          <w:bottom w:color="999999" w:space="0" w:sz="18" w:val="single"/>
          <w:right w:color="999999" w:space="0" w:sz="18" w:val="single"/>
          <w:insideH w:color="999999" w:space="0" w:sz="18" w:val="single"/>
          <w:insideV w:color="999999" w:space="0" w:sz="18" w:val="single"/>
        </w:tblBorders>
        <w:tblLayout w:type="fixed"/>
        <w:tblLook w:val="0600"/>
      </w:tblPr>
      <w:tblGrid>
        <w:gridCol w:w="14400"/>
        <w:tblGridChange w:id="0">
          <w:tblGrid>
            <w:gridCol w:w="144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UnifrakturMaguntia" w:cs="UnifrakturMaguntia" w:eastAsia="UnifrakturMaguntia" w:hAnsi="UnifrakturMaguntia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ton" w:cs="Anton" w:eastAsia="Anton" w:hAnsi="Anton"/>
                <w:b w:val="1"/>
                <w:sz w:val="48"/>
                <w:szCs w:val="48"/>
                <w:rtl w:val="0"/>
              </w:rPr>
              <w:t xml:space="preserve">Hrvatske  skolske vijesti</w:t>
            </w:r>
            <w:r w:rsidDel="00000000" w:rsidR="00000000" w:rsidRPr="00000000">
              <w:rPr>
                <w:rFonts w:ascii="UnifrakturMaguntia" w:cs="UnifrakturMaguntia" w:eastAsia="UnifrakturMaguntia" w:hAnsi="UnifrakturMaguntia"/>
                <w:b w:val="1"/>
                <w:sz w:val="48"/>
                <w:szCs w:val="4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4400.0" w:type="dxa"/>
        <w:jc w:val="left"/>
        <w:tblInd w:w="0.0" w:type="pct"/>
        <w:tblBorders>
          <w:top w:color="c0c0c0" w:space="0" w:sz="12" w:val="single"/>
          <w:left w:color="c0c0c0" w:space="0" w:sz="12" w:val="single"/>
          <w:bottom w:color="c0c0c0" w:space="0" w:sz="12" w:val="single"/>
          <w:right w:color="c0c0c0" w:space="0" w:sz="12" w:val="single"/>
          <w:insideH w:color="c0c0c0" w:space="0" w:sz="12" w:val="single"/>
          <w:insideV w:color="c0c0c0" w:space="0" w:sz="12" w:val="single"/>
        </w:tblBorders>
        <w:tblLayout w:type="fixed"/>
        <w:tblLook w:val="0600"/>
      </w:tblPr>
      <w:tblGrid>
        <w:gridCol w:w="7200"/>
        <w:gridCol w:w="7200"/>
        <w:tblGridChange w:id="0">
          <w:tblGrid>
            <w:gridCol w:w="7200"/>
            <w:gridCol w:w="7200"/>
          </w:tblGrid>
        </w:tblGridChange>
      </w:tblGrid>
      <w:tr>
        <w:trPr>
          <w:trHeight w:val="360" w:hRule="atLeast"/>
        </w:trPr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9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color w:val="ffffff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33333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90" w:firstLine="0"/>
              <w:contextualSpacing w:val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ffffff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color w:val="ffffff"/>
                <w:rtl w:val="0"/>
              </w:rPr>
              <w:t xml:space="preserve">04/29/17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mc:AlternateContent>
          <mc:Choice Requires="wpg">
            <w:drawing>
              <wp:inline distB="19050" distT="19050" distL="19050" distR="19050">
                <wp:extent cx="6648450" cy="95250"/>
                <wp:effectExtent b="0" l="0" r="0" 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-228600" y="152400"/>
                          <a:ext cx="6629400" cy="76200"/>
                        </a:xfrm>
                        <a:prstGeom prst="bevel">
                          <a:avLst>
                            <a:gd fmla="val 12500" name="adj"/>
                          </a:avLst>
                        </a:prstGeom>
                        <a:solidFill>
                          <a:srgbClr val="999999"/>
                        </a:solidFill>
                        <a:ln cap="flat" cmpd="sng" w="19050">
                          <a:solidFill>
                            <a:srgbClr val="CCCCCC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inline>
            </w:drawing>
          </mc:Choice>
          <mc:Fallback>
            <w:drawing>
              <wp:inline distB="19050" distT="19050" distL="19050" distR="19050">
                <wp:extent cx="6648450" cy="95250"/>
                <wp:effectExtent b="0" l="0" r="0" 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45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4"/>
        <w:tblW w:w="14400.0" w:type="dxa"/>
        <w:jc w:val="left"/>
        <w:tblInd w:w="72.0" w:type="pct"/>
        <w:tblBorders>
          <w:top w:color="ffffff" w:space="0" w:sz="12" w:val="single"/>
          <w:left w:color="ffffff" w:space="0" w:sz="12" w:val="single"/>
          <w:bottom w:color="ffffff" w:space="0" w:sz="12" w:val="single"/>
          <w:right w:color="ffffff" w:space="0" w:sz="12" w:val="single"/>
          <w:insideH w:color="ffffff" w:space="0" w:sz="12" w:val="single"/>
          <w:insideV w:color="ffffff" w:space="0" w:sz="12" w:val="single"/>
        </w:tblBorders>
        <w:tblLayout w:type="fixed"/>
        <w:tblLook w:val="0600"/>
      </w:tblPr>
      <w:tblGrid>
        <w:gridCol w:w="4800"/>
        <w:gridCol w:w="4770"/>
        <w:gridCol w:w="4830"/>
        <w:tblGridChange w:id="0">
          <w:tblGrid>
            <w:gridCol w:w="4800"/>
            <w:gridCol w:w="4770"/>
            <w:gridCol w:w="4830"/>
          </w:tblGrid>
        </w:tblGridChange>
      </w:tblGrid>
      <w:tr>
        <w:trPr>
          <w:trHeight w:val="17240" w:hRule="atLeast"/>
        </w:trPr>
        <w:tc>
          <w:tcPr>
            <w:shd w:fill="auto" w:val="clear"/>
            <w:tcMar>
              <w:top w:w="72.0" w:type="dxa"/>
              <w:left w:w="72.0" w:type="dxa"/>
              <w:bottom w:w="72.0" w:type="dxa"/>
              <w:right w:w="72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Rock Salt" w:cs="Rock Salt" w:eastAsia="Rock Salt" w:hAnsi="Rock Salt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</w:t>
            </w: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y: Tiana Kopilas</w:t>
            </w: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240" w:lineRule="auto"/>
              <w:contextualSpacing w:val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605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4605"/>
              <w:tblGridChange w:id="0">
                <w:tblGrid>
                  <w:gridCol w:w="4605"/>
                </w:tblGrid>
              </w:tblGridChange>
            </w:tblGrid>
            <w:tr>
              <w:trPr>
                <w:trHeight w:val="2440" w:hRule="atLeast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09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center"/>
                    <w:rPr>
                      <w:rFonts w:ascii="Arial" w:cs="Arial" w:eastAsia="Arial" w:hAnsi="Arial"/>
                      <w:b w:val="0"/>
                      <w:i w:val="0"/>
                      <w:smallCaps w:val="0"/>
                      <w:strike w:val="0"/>
                      <w:color w:val="000000"/>
                      <w:sz w:val="22"/>
                      <w:szCs w:val="2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2776538" cy="1428750"/>
                        <wp:effectExtent b="0" l="0" r="0" t="0"/>
                        <wp:docPr descr="Image result for CROATIAN FLAG" id="3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descr="Image result for CROATIAN FLAG" id="0" name="image6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6538" cy="142875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Svake subote u hrvatskoj školi, u Kitchener djeca s hrvatskom porjeklom okupljaju se kako bi naučili svoj izvorni jezik. Oko 50 učenika pohađa ovu školu. Uče o atrakcijama, vremenu, sportu, a najviše o samom jeziku. Vidio sam i mogu reći da je to ugodno za mnoge djecu. Imaju mnogo protivnika.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sz w:val="48"/>
                <w:szCs w:val="48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           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   </w:t>
            </w: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Pljačka Banke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By: Milan Filipovic</w:t>
            </w:r>
          </w:p>
          <w:p w:rsidR="00000000" w:rsidDel="00000000" w:rsidP="00000000" w:rsidRDefault="00000000" w:rsidRPr="00000000" w14:paraId="00000010">
            <w:pPr>
              <w:contextualSpacing w:val="0"/>
              <w:rPr>
                <w:sz w:val="24"/>
                <w:szCs w:val="24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Tokom noći  nepoznata 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osoba  opljačkla je CBC 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banku u Kitchener </w:t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Waterloo,   oko 10:00 sati navećer.</w:t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Nitko ne zna kako je to bilo</w:t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contextualSpacing w:val="0"/>
              <w:rPr>
                <w:color w:val="212121"/>
                <w:sz w:val="36"/>
                <w:szCs w:val="36"/>
              </w:rPr>
            </w:pPr>
            <w:r w:rsidDel="00000000" w:rsidR="00000000" w:rsidRPr="00000000">
              <w:rPr>
                <w:color w:val="212121"/>
                <w:sz w:val="36"/>
                <w:szCs w:val="36"/>
                <w:rtl w:val="0"/>
              </w:rPr>
              <w:t xml:space="preserve">  izvedeno. Ukrali su oko 500.000 $. Policija još uvijek istražuje i moli građane  ako imaju neke informacije da se jave. Banka je danas zatvorena .   </w:t>
            </w:r>
          </w:p>
          <w:p w:rsidR="00000000" w:rsidDel="00000000" w:rsidP="00000000" w:rsidRDefault="00000000" w:rsidRPr="00000000" w14:paraId="00000017">
            <w:pPr>
              <w:contextualSpacing w:val="0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43013" cy="1552188"/>
                  <wp:effectExtent b="0" l="0" r="0" t="0"/>
                  <wp:docPr descr="Image result for banke" id="1" name="image2.jpg"/>
                  <a:graphic>
                    <a:graphicData uri="http://schemas.openxmlformats.org/drawingml/2006/picture">
                      <pic:pic>
                        <pic:nvPicPr>
                          <pic:cNvPr descr="Image result for banke" id="0" name="image2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3" cy="15521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rFonts w:ascii="Syncopate" w:cs="Syncopate" w:eastAsia="Syncopate" w:hAnsi="Syncopate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40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16"/>
                <w:szCs w:val="16"/>
                <w:rtl w:val="0"/>
              </w:rPr>
              <w:t xml:space="preserve">by: Ambro Kopilas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80" w:line="240" w:lineRule="auto"/>
              <w:contextualSpacing w:val="0"/>
              <w:jc w:val="both"/>
              <w:rPr>
                <w:rFonts w:ascii="Arial" w:cs="Arial" w:eastAsia="Arial" w:hAnsi="Arial"/>
                <w:i w:val="0"/>
                <w:smallCaps w:val="0"/>
                <w:strike w:val="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Vremenska prognoza za travanj 29 i travanj 30.</w:t>
            </w:r>
          </w:p>
          <w:p w:rsidR="00000000" w:rsidDel="00000000" w:rsidP="00000000" w:rsidRDefault="00000000" w:rsidRPr="00000000" w14:paraId="0000001D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Danas u Kitchener- Waterloo će biti mjestimično oblačno i dnevna temperatura će dostići 20℃. Sutra u nedjelju se očekuje kišno i hladno vrijeme i dnevena temperatura će biti najviše 15℃. Sljedeći tjedan  će se vratiti na normalnu temperaturu.</w:t>
            </w:r>
          </w:p>
          <w:p w:rsidR="00000000" w:rsidDel="00000000" w:rsidP="00000000" w:rsidRDefault="00000000" w:rsidRPr="00000000" w14:paraId="0000001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contextualSpacing w:val="0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</w:rPr>
              <w:drawing>
                <wp:inline distB="114300" distT="114300" distL="114300" distR="114300">
                  <wp:extent cx="1223963" cy="935457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963" cy="935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contextualSpacing w:val="0"/>
              <w:jc w:val="center"/>
              <w:rPr>
                <w:sz w:val="36"/>
                <w:szCs w:val="36"/>
                <w:u w:val="single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Hrvatske sportske vijesti</w:t>
            </w:r>
          </w:p>
          <w:p w:rsidR="00000000" w:rsidDel="00000000" w:rsidP="00000000" w:rsidRDefault="00000000" w:rsidRPr="00000000" w14:paraId="00000021">
            <w:pPr>
              <w:contextualSpacing w:val="0"/>
              <w:jc w:val="center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By: Tony Filipovic</w:t>
            </w:r>
          </w:p>
          <w:p w:rsidR="00000000" w:rsidDel="00000000" w:rsidP="00000000" w:rsidRDefault="00000000" w:rsidRPr="00000000" w14:paraId="00000022">
            <w:pPr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Liverpool menader Kloop je odlučio da Dejan Lovren danas neće igrati utakmicu  protiv Burnley, zbog njegove ozljede. </w:t>
            </w:r>
          </w:p>
          <w:p w:rsidR="00000000" w:rsidDel="00000000" w:rsidP="00000000" w:rsidRDefault="00000000" w:rsidRPr="00000000" w14:paraId="00000024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   Ako Hrvatska  pobijedi Iceland na slijedećoj utakmici koju igraju u lipnju u Zagrebu, kvalificirati će se za svijetsko prvenstvo u nogometu koji će se održati 2018 u Rusiji.</w:t>
            </w:r>
          </w:p>
          <w:p w:rsidR="00000000" w:rsidDel="00000000" w:rsidP="00000000" w:rsidRDefault="00000000" w:rsidRPr="00000000" w14:paraId="00000025">
            <w:pPr>
              <w:contextualSpacing w:val="0"/>
              <w:jc w:val="center"/>
              <w:rPr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rtl w:val="0"/>
              </w:rPr>
              <w:t xml:space="preserve">Modrić je  novi kapetan  hrvatske nogometne reprenzentacije poslije Evropskog prvenstva kada je bivši kapetan Srna napustio  nacionalni tim.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contextualSpacing w:val="0"/>
              <w:jc w:val="center"/>
              <w:rPr/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Djeca Imaju Priliku sudjelovati u “</w:t>
            </w:r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KW Youth Theatre”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                          By: Adriana Radisic</w:t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Ovaj tjedan, djeca od dvanaest do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četrnaest godina  ce glumiti u emisiji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Time”. “KW Youth Theatre”,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 je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skupina koja potiče djecu da  glume. Možete gledati emisije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“Cambridge Arts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četvrtak, u  i 8 sati, i u nedjelju na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“Conrad Center”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u 8pm. Ulaznice su $18 za odrasle, i $12 za djecu. Glumci u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“A Wrinkle in Time”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prodat će te ulaznice. </w:t>
            </w:r>
            <w:r w:rsidDel="00000000" w:rsidR="00000000" w:rsidRPr="00000000">
              <w:rPr>
                <w:i w:val="1"/>
                <w:color w:val="212121"/>
                <w:sz w:val="28"/>
                <w:szCs w:val="28"/>
                <w:rtl w:val="0"/>
              </w:rPr>
              <w:t xml:space="preserve">“KW Youth Theatre” </w:t>
            </w: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vjeruje u potaknite djecu da izvode i glume, i predstava  će biti nevjerojatno dobra! </w:t>
            </w:r>
          </w:p>
          <w:p w:rsidR="00000000" w:rsidDel="00000000" w:rsidP="00000000" w:rsidRDefault="00000000" w:rsidRPr="00000000" w14:paraId="0000002A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contextualSpacing w:val="0"/>
              <w:jc w:val="center"/>
              <w:rPr>
                <w:color w:val="212121"/>
                <w:sz w:val="28"/>
                <w:szCs w:val="28"/>
              </w:rPr>
            </w:pPr>
            <w:r w:rsidDel="00000000" w:rsidR="00000000" w:rsidRPr="00000000">
              <w:rPr>
                <w:color w:val="212121"/>
                <w:sz w:val="28"/>
                <w:szCs w:val="28"/>
                <w:rtl w:val="0"/>
              </w:rPr>
              <w:t xml:space="preserve">By: Aria Radisic</w:t>
            </w:r>
          </w:p>
          <w:p w:rsidR="00000000" w:rsidDel="00000000" w:rsidP="00000000" w:rsidRDefault="00000000" w:rsidRPr="00000000" w14:paraId="0000002C">
            <w:pPr>
              <w:contextualSpacing w:val="0"/>
              <w:jc w:val="center"/>
              <w:rPr>
                <w:color w:val="212121"/>
                <w:sz w:val="16"/>
                <w:szCs w:val="16"/>
              </w:rPr>
            </w:pPr>
            <w:r w:rsidDel="00000000" w:rsidR="00000000" w:rsidRPr="00000000">
              <w:pict>
                <v:rect style="width:0.0pt;height:1.5pt" o:hr="t" o:hrstd="t" o:hralign="center" fillcolor="#A0A0A0" stroked="f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contextualSpacing w:val="0"/>
              <w:rPr>
                <w:rFonts w:ascii="Caveat" w:cs="Caveat" w:eastAsia="Caveat" w:hAnsi="Caveat"/>
                <w:b w:val="1"/>
                <w:sz w:val="36"/>
                <w:szCs w:val="36"/>
              </w:rPr>
            </w:pPr>
            <w:r w:rsidDel="00000000" w:rsidR="00000000" w:rsidRPr="00000000">
              <w:rPr>
                <w:sz w:val="36"/>
                <w:szCs w:val="36"/>
                <w:u w:val="single"/>
                <w:rtl w:val="0"/>
              </w:rPr>
              <w:t xml:space="preserve">Nova Vruca Tocka: Split, Hrvatska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margin">
                    <wp:posOffset>3343275</wp:posOffset>
                  </wp:positionH>
                  <wp:positionV relativeFrom="paragraph">
                    <wp:posOffset>733425</wp:posOffset>
                  </wp:positionV>
                  <wp:extent cx="2300288" cy="1447800"/>
                  <wp:effectExtent b="0" l="0" r="0" t="0"/>
                  <wp:wrapSquare wrapText="bothSides" distB="114300" distT="114300" distL="114300" distR="11430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288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E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Hrvatska je prekrasan grad. Uz turističke atrakcije i plaže, to je najbolje mjesto za odmor. </w:t>
            </w:r>
          </w:p>
          <w:p w:rsidR="00000000" w:rsidDel="00000000" w:rsidP="00000000" w:rsidRDefault="00000000" w:rsidRPr="00000000" w14:paraId="0000002F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sz w:val="28"/>
                <w:szCs w:val="28"/>
                <w:u w:val="single"/>
                <w:rtl w:val="0"/>
              </w:rPr>
              <w:t xml:space="preserve">Mora vidjeti lokacije: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PROKURAVITA- REPUBLIC SQUARE. 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Repučki trg jedan je od najljepših mjesta u Splitu. Tri su zida ukrašena, dok se četvrti zid otvara prema moru.</w:t>
            </w:r>
          </w:p>
          <w:p w:rsidR="00000000" w:rsidDel="00000000" w:rsidP="00000000" w:rsidRDefault="00000000" w:rsidRPr="00000000" w14:paraId="00000030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RIVA- SPLIT WATERFRONT</w:t>
            </w:r>
          </w:p>
          <w:p w:rsidR="00000000" w:rsidDel="00000000" w:rsidP="00000000" w:rsidRDefault="00000000" w:rsidRPr="00000000" w14:paraId="00000031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Riva je izvrsno mjesto za sastanke, mjesto za lijepe poglede i čamce. </w:t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Kafićima se nalazi i riva, a Riva je idealno mjesto za noćni izlazak!</w:t>
            </w:r>
          </w:p>
          <w:p w:rsidR="00000000" w:rsidDel="00000000" w:rsidP="00000000" w:rsidRDefault="00000000" w:rsidRPr="00000000" w14:paraId="00000033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POLJUD STADIUM</w:t>
            </w:r>
          </w:p>
          <w:p w:rsidR="00000000" w:rsidDel="00000000" w:rsidP="00000000" w:rsidRDefault="00000000" w:rsidRPr="00000000" w14:paraId="00000034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"Ljepota poljud" je nogometni stadion koji izgleda kao školjka, a dom je nogometnog Hajduk.</w:t>
            </w:r>
          </w:p>
          <w:p w:rsidR="00000000" w:rsidDel="00000000" w:rsidP="00000000" w:rsidRDefault="00000000" w:rsidRPr="00000000" w14:paraId="00000035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CROATIA NATIONAL THEATRE.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U splitskom nacionalnom kazalištu možete pronaći operu, dramu, ples i još mnogo toga. To je najveće kazalište u južnoj Europi iveliko mjesto za upoznavanje prijatelja!</w:t>
            </w:r>
          </w:p>
          <w:p w:rsidR="00000000" w:rsidDel="00000000" w:rsidP="00000000" w:rsidRDefault="00000000" w:rsidRPr="00000000" w14:paraId="00000036">
            <w:pPr>
              <w:contextualSpacing w:val="0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Split je savršeno mjesto za odmor za sve one koji vole plažu, kupnju i upoznavanje novih ljudi!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before="80" w:line="240" w:lineRule="auto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rPr>
          <w:rtl w:val="0"/>
        </w:rPr>
      </w:r>
    </w:p>
    <w:sectPr>
      <w:pgSz w:h="24480" w:w="15840"/>
      <w:pgMar w:bottom="720.0000000000001" w:top="720.0000000000001" w:left="720.0000000000001" w:right="720.0000000000001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mbria"/>
  <w:font w:name="Anton">
    <w:embedRegular w:fontKey="{00000000-0000-0000-0000-000000000000}" r:id="rId1" w:subsetted="0"/>
  </w:font>
  <w:font w:name="Caveat">
    <w:embedRegular w:fontKey="{00000000-0000-0000-0000-000000000000}" r:id="rId2" w:subsetted="0"/>
    <w:embedBold w:fontKey="{00000000-0000-0000-0000-000000000000}" r:id="rId3" w:subsetted="0"/>
  </w:font>
  <w:font w:name="Rock Salt">
    <w:embedRegular w:fontKey="{00000000-0000-0000-0000-000000000000}" r:id="rId4" w:subsetted="0"/>
  </w:font>
  <w:font w:name="Syncopate">
    <w:embedRegular w:fontKey="{00000000-0000-0000-0000-000000000000}" r:id="rId5" w:subsetted="0"/>
    <w:embedBold w:fontKey="{00000000-0000-0000-0000-000000000000}" r:id="rId6" w:subsetted="0"/>
  </w:font>
  <w:font w:name="UnifrakturMaguntia">
    <w:embedRegular w:fontKey="{00000000-0000-0000-0000-000000000000}" r:id="rId7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9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1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ton-regular.ttf"/><Relationship Id="rId2" Type="http://schemas.openxmlformats.org/officeDocument/2006/relationships/font" Target="fonts/Caveat-regular.ttf"/><Relationship Id="rId3" Type="http://schemas.openxmlformats.org/officeDocument/2006/relationships/font" Target="fonts/Caveat-bold.ttf"/><Relationship Id="rId4" Type="http://schemas.openxmlformats.org/officeDocument/2006/relationships/font" Target="fonts/RockSalt-regular.ttf"/><Relationship Id="rId5" Type="http://schemas.openxmlformats.org/officeDocument/2006/relationships/font" Target="fonts/Syncopate-regular.ttf"/><Relationship Id="rId6" Type="http://schemas.openxmlformats.org/officeDocument/2006/relationships/font" Target="fonts/Syncopate-bold.ttf"/><Relationship Id="rId7" Type="http://schemas.openxmlformats.org/officeDocument/2006/relationships/font" Target="fonts/UnifrakturMaguntia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